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3829" w:rsidRDefault="004A5BBE">
      <w:pPr>
        <w:pStyle w:val="ConsPlusNormal"/>
        <w:jc w:val="both"/>
        <w:outlineLvl w:val="0"/>
      </w:pPr>
    </w:p>
    <w:p w:rsidR="00000000" w:rsidRPr="00D93829" w:rsidRDefault="004A5BB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D93829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r w:rsidRPr="00D93829">
        <w:rPr>
          <w:b/>
          <w:bCs/>
          <w:sz w:val="16"/>
          <w:szCs w:val="16"/>
        </w:rPr>
        <w:t>ПОСТАНОВЛЕНИЕ</w:t>
      </w: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r w:rsidRPr="00D93829">
        <w:rPr>
          <w:b/>
          <w:bCs/>
          <w:sz w:val="16"/>
          <w:szCs w:val="16"/>
        </w:rPr>
        <w:t xml:space="preserve">от 5 июня 2015 г. </w:t>
      </w:r>
      <w:r w:rsidR="00D93829">
        <w:rPr>
          <w:b/>
          <w:bCs/>
          <w:sz w:val="16"/>
          <w:szCs w:val="16"/>
        </w:rPr>
        <w:t>№</w:t>
      </w:r>
      <w:r w:rsidRPr="00D93829">
        <w:rPr>
          <w:b/>
          <w:bCs/>
          <w:sz w:val="16"/>
          <w:szCs w:val="16"/>
        </w:rPr>
        <w:t xml:space="preserve"> 552</w:t>
      </w: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r w:rsidRPr="00D93829">
        <w:rPr>
          <w:b/>
          <w:bCs/>
          <w:sz w:val="16"/>
          <w:szCs w:val="16"/>
        </w:rPr>
        <w:t>ОБ УТВЕРЖДЕНИИ ПРАВИЛ</w:t>
      </w: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r w:rsidRPr="00D93829">
        <w:rPr>
          <w:b/>
          <w:bCs/>
          <w:sz w:val="16"/>
          <w:szCs w:val="16"/>
        </w:rPr>
        <w:t>ФОРМИРОВАНИЯ, УТВЕРЖДЕНИЯ И ВЕДЕНИЯ ПЛАНА ЗАКУПОК ТОВАРОВ,</w:t>
      </w: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r w:rsidRPr="00D93829">
        <w:rPr>
          <w:b/>
          <w:bCs/>
          <w:sz w:val="16"/>
          <w:szCs w:val="16"/>
        </w:rPr>
        <w:t>РАБОТ, УСЛУГ ДЛЯ ОБЕСПЕЧЕНИЯ ФЕДЕРАЛЬНЫХ НУЖД, А ТАКЖЕ</w:t>
      </w: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r w:rsidRPr="00D93829">
        <w:rPr>
          <w:b/>
          <w:bCs/>
          <w:sz w:val="16"/>
          <w:szCs w:val="16"/>
        </w:rPr>
        <w:t>ТРЕБОВАНИЙ К ФОРМЕ ПЛАНА ЗАКУПОК ТОВАРОВ, РАБОТ, УСЛУГ</w:t>
      </w: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r w:rsidRPr="00D93829">
        <w:rPr>
          <w:b/>
          <w:bCs/>
          <w:sz w:val="16"/>
          <w:szCs w:val="16"/>
        </w:rPr>
        <w:t>ДЛЯ ОБЕСПЕЧЕНИЯ ФЕДЕРАЛЬНЫХ НУЖД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ind w:firstLine="540"/>
        <w:jc w:val="both"/>
      </w:pPr>
      <w:r w:rsidRPr="00D93829">
        <w:t>В соответствии с Федеральным законом "О контрактной системе в сфере закупок товаров, работ, услуг для обеспечени</w:t>
      </w:r>
      <w:r w:rsidRPr="00D93829">
        <w:t>я государственных и муниципальных нужд" Правительство Российской Федерации постановляет: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1. Утвердить прилагаемые: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Правила</w:t>
      </w:r>
      <w:r w:rsidRPr="00D93829">
        <w:t xml:space="preserve"> формирования, утверждения и ведения плана закупок товаров, работ, услуг для обе</w:t>
      </w:r>
      <w:r w:rsidRPr="00D93829">
        <w:t>спечения федеральных нужд;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требования</w:t>
      </w:r>
      <w:r w:rsidRPr="00D93829">
        <w:t xml:space="preserve"> к форме плана закупок товаров, работ, услуг для обеспечения федеральных нужд.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2. Настоящее постановление вступает в силу с 1 января 2016 г.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right"/>
      </w:pPr>
      <w:r w:rsidRPr="00D93829">
        <w:t>Председатель Правительс</w:t>
      </w:r>
      <w:r w:rsidRPr="00D93829">
        <w:t>тва</w:t>
      </w:r>
    </w:p>
    <w:p w:rsidR="00000000" w:rsidRPr="00D93829" w:rsidRDefault="004A5BBE">
      <w:pPr>
        <w:pStyle w:val="ConsPlusNormal"/>
        <w:jc w:val="right"/>
      </w:pPr>
      <w:r w:rsidRPr="00D93829">
        <w:t>Российской Федерации</w:t>
      </w:r>
    </w:p>
    <w:p w:rsidR="00000000" w:rsidRPr="00D93829" w:rsidRDefault="004A5BBE">
      <w:pPr>
        <w:pStyle w:val="ConsPlusNormal"/>
        <w:jc w:val="right"/>
      </w:pPr>
      <w:r w:rsidRPr="00D93829">
        <w:t>Д.МЕДВЕДЕВ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right"/>
        <w:outlineLvl w:val="0"/>
      </w:pPr>
      <w:bookmarkStart w:id="1" w:name="Par26"/>
      <w:bookmarkEnd w:id="1"/>
      <w:r w:rsidRPr="00D93829">
        <w:t>Утверждены</w:t>
      </w:r>
    </w:p>
    <w:p w:rsidR="00000000" w:rsidRPr="00D93829" w:rsidRDefault="004A5BBE">
      <w:pPr>
        <w:pStyle w:val="ConsPlusNormal"/>
        <w:jc w:val="right"/>
      </w:pPr>
      <w:r w:rsidRPr="00D93829">
        <w:t>постановлением Правительства</w:t>
      </w:r>
    </w:p>
    <w:p w:rsidR="00000000" w:rsidRPr="00D93829" w:rsidRDefault="004A5BBE">
      <w:pPr>
        <w:pStyle w:val="ConsPlusNormal"/>
        <w:jc w:val="right"/>
      </w:pPr>
      <w:r w:rsidRPr="00D93829">
        <w:t>Российской Федерации</w:t>
      </w:r>
    </w:p>
    <w:p w:rsidR="00000000" w:rsidRPr="00D93829" w:rsidRDefault="004A5BBE">
      <w:pPr>
        <w:pStyle w:val="ConsPlusNormal"/>
        <w:jc w:val="right"/>
      </w:pPr>
      <w:r w:rsidRPr="00D93829">
        <w:t xml:space="preserve">от 5 июня 2015 г. </w:t>
      </w:r>
      <w:r w:rsidR="00D93829">
        <w:t>№</w:t>
      </w:r>
      <w:r w:rsidRPr="00D93829">
        <w:t xml:space="preserve"> 552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 w:rsidRPr="00D93829">
        <w:rPr>
          <w:b/>
          <w:bCs/>
          <w:sz w:val="16"/>
          <w:szCs w:val="16"/>
        </w:rPr>
        <w:t>ПРАВИЛА</w:t>
      </w: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r w:rsidRPr="00D93829">
        <w:rPr>
          <w:b/>
          <w:bCs/>
          <w:sz w:val="16"/>
          <w:szCs w:val="16"/>
        </w:rPr>
        <w:t>ФОРМИРОВАНИЯ, УТВЕРЖДЕНИЯ И ВЕДЕНИЯ ПЛАНА ЗАКУПОК ТОВАРОВ,</w:t>
      </w: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r w:rsidRPr="00D93829">
        <w:rPr>
          <w:b/>
          <w:bCs/>
          <w:sz w:val="16"/>
          <w:szCs w:val="16"/>
        </w:rPr>
        <w:t>РАБОТ, УСЛУГ ДЛЯ ОБЕСПЕЧЕНИЯ ФЕДЕРАЛЬНЫХ НУЖД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ind w:firstLine="540"/>
        <w:jc w:val="both"/>
      </w:pPr>
      <w:r w:rsidRPr="00D93829">
        <w:t>1. Настоящие Правила устанавливают порядок формирования, утверждения и ведения плана закупок товаров, работ, услуг для обеспечения федеральных нужд (далее - закупки) в соответствии с Федеральным законом "О кон</w:t>
      </w:r>
      <w:r w:rsidRPr="00D93829">
        <w:t>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000000" w:rsidRPr="00D93829" w:rsidRDefault="004A5BBE">
      <w:pPr>
        <w:pStyle w:val="ConsPlusNormal"/>
        <w:ind w:firstLine="540"/>
        <w:jc w:val="both"/>
      </w:pPr>
      <w:bookmarkStart w:id="3" w:name="Par36"/>
      <w:bookmarkEnd w:id="3"/>
      <w:r w:rsidRPr="00D93829">
        <w:t>2. Планы закупок утверждаются в течение 10 рабочих дней следующими заказчиками:</w:t>
      </w:r>
    </w:p>
    <w:p w:rsidR="00000000" w:rsidRPr="00D93829" w:rsidRDefault="004A5BBE">
      <w:pPr>
        <w:pStyle w:val="ConsPlusNormal"/>
        <w:ind w:firstLine="540"/>
        <w:jc w:val="both"/>
      </w:pPr>
      <w:bookmarkStart w:id="4" w:name="Par37"/>
      <w:bookmarkEnd w:id="4"/>
      <w:r w:rsidRPr="00D93829">
        <w:t>а) государственным</w:t>
      </w:r>
      <w:r w:rsidRPr="00D93829">
        <w:t>и заказчиками, действующими от имени Российской Федерации, - после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</w:t>
      </w:r>
      <w:r w:rsidRPr="00D93829">
        <w:t xml:space="preserve"> Федерации;</w:t>
      </w:r>
    </w:p>
    <w:p w:rsidR="00000000" w:rsidRPr="00D93829" w:rsidRDefault="004A5BBE">
      <w:pPr>
        <w:pStyle w:val="ConsPlusNormal"/>
        <w:ind w:firstLine="540"/>
        <w:jc w:val="both"/>
      </w:pPr>
      <w:bookmarkStart w:id="5" w:name="Par38"/>
      <w:bookmarkEnd w:id="5"/>
      <w:r w:rsidRPr="00D93829">
        <w:t>б) федеральными государственными бюджетными учреждениями,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000000" w:rsidRPr="00D93829" w:rsidRDefault="004A5BBE">
      <w:pPr>
        <w:pStyle w:val="ConsPlusNormal"/>
        <w:ind w:firstLine="540"/>
        <w:jc w:val="both"/>
      </w:pPr>
      <w:bookmarkStart w:id="6" w:name="Par39"/>
      <w:bookmarkEnd w:id="6"/>
      <w:r w:rsidRPr="00D93829">
        <w:t xml:space="preserve">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предусмотренном частью 4 статьи 15 Федерального закона, </w:t>
      </w:r>
      <w:r w:rsidRPr="00D93829">
        <w:t>-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</w:t>
      </w:r>
      <w:r w:rsidRPr="00D93829">
        <w:t>ность Российской Федерации (далее - субсидии). При этом в план закупок включаются только закупки, которые планируется осуществлять за счет субсидий;</w:t>
      </w:r>
    </w:p>
    <w:p w:rsidR="00000000" w:rsidRPr="00D93829" w:rsidRDefault="004A5BBE">
      <w:pPr>
        <w:pStyle w:val="ConsPlusNormal"/>
        <w:ind w:firstLine="540"/>
        <w:jc w:val="both"/>
      </w:pPr>
      <w:bookmarkStart w:id="7" w:name="Par40"/>
      <w:bookmarkEnd w:id="7"/>
      <w:r w:rsidRPr="00D93829">
        <w:t>г) федеральными государственными бюджетными учреждениями, федеральными государственными автономны</w:t>
      </w:r>
      <w:r w:rsidRPr="00D93829">
        <w:t>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федеральными органами государственной власти (государственным</w:t>
      </w:r>
      <w:r w:rsidRPr="00D93829">
        <w:t xml:space="preserve">и органами), Государственной корпорацией по атомной энергии "Росатом" и органами управления государственными внебюджетными фондами Российской Федерации полномочий государственного заказчика по заключению </w:t>
      </w:r>
      <w:r w:rsidRPr="00D93829">
        <w:lastRenderedPageBreak/>
        <w:t>и исполнению от имени Российской Федерации государст</w:t>
      </w:r>
      <w:r w:rsidRPr="00D93829">
        <w:t>венных контрактов от лица указанных органов и Корпорации,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</w:t>
      </w:r>
      <w:r w:rsidRPr="00D93829">
        <w:t>сполнение обязательств в соответствии с бюджетным законодательством Российской Федерации.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3. Планы закупок на очередной финансовый год и плановый период формируются заказчиками, указанными в </w:t>
      </w:r>
      <w:r w:rsidRPr="00D93829">
        <w:t>пункте 2</w:t>
      </w:r>
      <w:r w:rsidRPr="00D93829">
        <w:t xml:space="preserve"> на</w:t>
      </w:r>
      <w:r w:rsidRPr="00D93829">
        <w:t>стоящих Правил, в сроки, установленные главными распорядителями средств федерального бюджета и органами управления государственными внебюджетными фондами Российской Федерации (далее - главные распорядители).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4. Заказчики, указанные в </w:t>
      </w:r>
      <w:r w:rsidRPr="00D93829">
        <w:t>подпункте "а" пункта 2</w:t>
      </w:r>
      <w:r w:rsidRPr="00D93829">
        <w:t xml:space="preserve"> настоящих Правил: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а) 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июля текущего года глав</w:t>
      </w:r>
      <w:r w:rsidRPr="00D93829">
        <w:t>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б) корректируют при необходимости по согласованию с главными распорядителями </w:t>
      </w:r>
      <w:r w:rsidRPr="00D93829">
        <w:t>планы закупок в процессе составления проектов бюджетных смет и представления главными распорядителями при составлении проекта федерального бюджета, проектов бюджетов государственных внебюджетных фондов Российской Федерации обоснований бюджетных ассигновани</w:t>
      </w:r>
      <w:r w:rsidRPr="00D93829">
        <w:t>й на осуществление закупок в соответствии с бюджетным законодательством Российской Федерации;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в) после уточнения планов закупок и доведения до государственного заказчика объема прав в денежном выражении на принятие и (или) исполнение обязательств в соответ</w:t>
      </w:r>
      <w:r w:rsidRPr="00D93829">
        <w:t xml:space="preserve">ствии с бюджетным законодательством Российской Федерации утверждают в срок, установленный </w:t>
      </w:r>
      <w:r w:rsidRPr="00D93829">
        <w:t>пунктом 2</w:t>
      </w:r>
      <w:r w:rsidRPr="00D93829">
        <w:t xml:space="preserve"> настоящих Правил, сформированные планы закупок и уведомляют об этом главного распорядителя.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5. Заказчи</w:t>
      </w:r>
      <w:r w:rsidRPr="00D93829">
        <w:t xml:space="preserve">ки, указанные в </w:t>
      </w:r>
      <w:r w:rsidRPr="00D93829">
        <w:t>подпункте "б" пункта 2</w:t>
      </w:r>
      <w:r w:rsidRPr="00D93829">
        <w:t xml:space="preserve"> настоящих Правил: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</w:t>
      </w:r>
      <w:r w:rsidRPr="00D93829">
        <w:t>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б) корректируют при не</w:t>
      </w:r>
      <w:r w:rsidRPr="00D93829">
        <w:t>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</w:t>
      </w:r>
      <w:r w:rsidRPr="00D93829">
        <w:t xml:space="preserve"> Федерации обоснований бюджетных ассигнований;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r w:rsidRPr="00D93829">
        <w:t>пунктом 2</w:t>
      </w:r>
      <w:r w:rsidRPr="00D93829">
        <w:t xml:space="preserve"> настоящих Правил, сф</w:t>
      </w:r>
      <w:r w:rsidRPr="00D93829">
        <w:t>ормированные планы закупок и уведомляют об этом органы, осуществляющие функции и полномочия их учредителя.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6. Заказчики, указанные в </w:t>
      </w:r>
      <w:r w:rsidRPr="00D93829">
        <w:t>подпункте "в" пункта 2</w:t>
      </w:r>
      <w:r w:rsidRPr="00D93829">
        <w:t xml:space="preserve"> настоящих Правил: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федеральными органами исполнительной власти проектов решений) о предоставлении субсидий на о</w:t>
      </w:r>
      <w:r w:rsidRPr="00D93829">
        <w:t>существление капитальных вложений;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r w:rsidRPr="00D93829">
        <w:t>пунктом 2</w:t>
      </w:r>
      <w:r w:rsidRPr="00D93829">
        <w:t xml:space="preserve"> настоящих Правил, планы закупок.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7. Заказчики, указанные в </w:t>
      </w:r>
      <w:r w:rsidRPr="00D93829">
        <w:t>подпункте "г" пункта 2</w:t>
      </w:r>
      <w:r w:rsidRPr="00D93829">
        <w:t xml:space="preserve"> настоящих Правил: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а) формируют планы закупок в сроки, установленные главными распорядителями средств федерального бюджета, после принятия решений (согласования в установленном порядке со всеми заинтересованными федеральными органами исполнительной власти проектов решений) о</w:t>
      </w:r>
      <w:r w:rsidRPr="00D93829">
        <w:t xml:space="preserve"> подготовке и реализации бюджетных инвестиций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б) уточняют при необ</w:t>
      </w:r>
      <w:r w:rsidRPr="00D93829">
        <w:t>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D93829">
        <w:t xml:space="preserve"> утверждают в срок, установленный </w:t>
      </w:r>
      <w:r w:rsidRPr="00D93829">
        <w:t>пунктом 2</w:t>
      </w:r>
      <w:r w:rsidRPr="00D93829">
        <w:t xml:space="preserve"> настоящих Правил, планы закупок.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8. План закупок на очередной финансовый год и плановый период разрабатывается путем изменения параметров очередного года и пе</w:t>
      </w:r>
      <w:r w:rsidRPr="00D93829">
        <w:t>рвого года планового периода утвержденного плана закупок и дополнения к ним параметров второго года планового периода.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9. Планы закупок формируются на срок, соответствующий сроку действия федерального закона о федеральном бюджете на очередной финансовый го</w:t>
      </w:r>
      <w:r w:rsidRPr="00D93829">
        <w:t xml:space="preserve">д и плановый период, а также федеральных законов о </w:t>
      </w:r>
      <w:r w:rsidRPr="00D93829">
        <w:lastRenderedPageBreak/>
        <w:t>бюджетах государственных внебюджетных фондов Российской Федерации на очередной финансовый год и плановый период.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10. В планы закупок заказчиков, указанных в </w:t>
      </w:r>
      <w:r w:rsidRPr="00D93829">
        <w:t>пункте 2</w:t>
      </w:r>
      <w:r w:rsidRPr="00D93829"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</w:t>
      </w:r>
      <w:r w:rsidRPr="00D93829">
        <w:t xml:space="preserve"> срок планируемых закупок.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11. Заказчики, указанные в </w:t>
      </w:r>
      <w:r w:rsidRPr="00D93829">
        <w:t>пункте 2</w:t>
      </w:r>
      <w:r w:rsidRPr="00D93829">
        <w:t xml:space="preserve"> настоящих Правил, ведут планы закупок в соответствии с положениями Федерального закона и настоящих Правил. Основаниями для внесения изменен</w:t>
      </w:r>
      <w:r w:rsidRPr="00D93829">
        <w:t>ий в утвержденные планы закупок в случае необходимости являются: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</w:t>
      </w:r>
      <w:r w:rsidRPr="00D93829">
        <w:t xml:space="preserve">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</w:t>
      </w:r>
      <w:r w:rsidRPr="00D93829">
        <w:t>органов), органов управления государственными внебюджетными фондами Российской Федерации и подведомственных им казенных учреждений;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б) приведение планов закупок в соответствие с федеральным законом о внесении изменений в федеральный закон о федеральном бюд</w:t>
      </w:r>
      <w:r w:rsidRPr="00D93829">
        <w:t>жете на текущий финансовый год и плановый период,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в) реализация федерал</w:t>
      </w:r>
      <w:r w:rsidRPr="00D93829">
        <w:t>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</w:t>
      </w:r>
      <w:r w:rsidRPr="00D93829">
        <w:t>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 и плановый период;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г</w:t>
      </w:r>
      <w:r w:rsidRPr="00D93829">
        <w:t xml:space="preserve">) изменение доведенного до заказчика, указанного в </w:t>
      </w:r>
      <w:r w:rsidRPr="00D93829">
        <w:t>подпункте "а" пункта 2</w:t>
      </w:r>
      <w:r w:rsidRPr="00D93829">
        <w:t xml:space="preserve"> настоящих Правил, объема прав в денежном выражении на принятие и (или) исполнение обязательств в соответствии с бюджетным законо</w:t>
      </w:r>
      <w:r w:rsidRPr="00D93829">
        <w:t>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д)</w:t>
      </w:r>
      <w:r w:rsidRPr="00D93829">
        <w:t xml:space="preserve"> реализация решения, принятого по итогам обязательного общественного обсуждения закупки;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ж) выдача предписания органами контроля, опред</w:t>
      </w:r>
      <w:r w:rsidRPr="00D93829">
        <w:t>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з) изменение сроков и (или) периодичности приобретения товаров, выполнения работ, оказания услуг;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и) возникновение иных сущ</w:t>
      </w:r>
      <w:r w:rsidRPr="00D93829">
        <w:t>ественных обстоятельств, предвидеть которые на дату утверждения плана закупок было невозможно.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12.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</w:t>
      </w:r>
      <w:r w:rsidRPr="00D93829">
        <w:t>тавщика (подрядчика, исполнителя) в которых планируется направить в установленных Федеральным законом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</w:t>
      </w:r>
      <w:r w:rsidRPr="00D93829">
        <w:t>ыми планируются к заключению в течение указанного периода.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13.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</w:t>
      </w:r>
      <w:r w:rsidRPr="00D93829">
        <w:t>стью 7 статьи 18 Федерального закона.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14. Формирование, утверждение и ведение планов закупок заказчиками, указанными в </w:t>
      </w:r>
      <w:r w:rsidRPr="00D93829">
        <w:t>подпункте "г" пункта 2</w:t>
      </w:r>
      <w:r w:rsidRPr="00D93829">
        <w:t xml:space="preserve"> настоящих Правил, осуществляются от лица соответствующих фед</w:t>
      </w:r>
      <w:r w:rsidRPr="00D93829">
        <w:t>еральных органов государственной власти (государственных органов), Государственной корпорации по атомной энергии "Росатом" и органов управления государственными внебюджетными фондами Российской Федерации, передавших указанным заказчикам свои полномочия.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right"/>
        <w:outlineLvl w:val="0"/>
      </w:pPr>
      <w:bookmarkStart w:id="8" w:name="Par77"/>
      <w:bookmarkEnd w:id="8"/>
      <w:r w:rsidRPr="00D93829">
        <w:t>Утверждены</w:t>
      </w:r>
    </w:p>
    <w:p w:rsidR="00000000" w:rsidRPr="00D93829" w:rsidRDefault="004A5BBE">
      <w:pPr>
        <w:pStyle w:val="ConsPlusNormal"/>
        <w:jc w:val="right"/>
      </w:pPr>
      <w:r w:rsidRPr="00D93829">
        <w:t>постановлением Правительства</w:t>
      </w:r>
    </w:p>
    <w:p w:rsidR="00000000" w:rsidRPr="00D93829" w:rsidRDefault="004A5BBE">
      <w:pPr>
        <w:pStyle w:val="ConsPlusNormal"/>
        <w:jc w:val="right"/>
      </w:pPr>
      <w:r w:rsidRPr="00D93829">
        <w:lastRenderedPageBreak/>
        <w:t>Российской Федерации</w:t>
      </w:r>
    </w:p>
    <w:p w:rsidR="00000000" w:rsidRPr="00D93829" w:rsidRDefault="004A5BBE">
      <w:pPr>
        <w:pStyle w:val="ConsPlusNormal"/>
        <w:jc w:val="right"/>
      </w:pPr>
      <w:r w:rsidRPr="00D93829">
        <w:t xml:space="preserve">от 5 июня 2015 г. </w:t>
      </w:r>
      <w:r w:rsidR="00D93829">
        <w:t>№</w:t>
      </w:r>
      <w:r w:rsidRPr="00D93829">
        <w:t xml:space="preserve"> 552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bookmarkStart w:id="9" w:name="Par82"/>
      <w:bookmarkEnd w:id="9"/>
      <w:r w:rsidRPr="00D93829">
        <w:rPr>
          <w:b/>
          <w:bCs/>
          <w:sz w:val="16"/>
          <w:szCs w:val="16"/>
        </w:rPr>
        <w:t>ТРЕБОВАНИЯ</w:t>
      </w: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r w:rsidRPr="00D93829">
        <w:rPr>
          <w:b/>
          <w:bCs/>
          <w:sz w:val="16"/>
          <w:szCs w:val="16"/>
        </w:rPr>
        <w:t>К ФОРМЕ ПЛАНА ЗАКУПОК ТОВАРОВ, РАБОТ, УСЛУГ ДЛЯ ОБЕСПЕЧЕНИЯ</w:t>
      </w:r>
    </w:p>
    <w:p w:rsidR="00000000" w:rsidRPr="00D93829" w:rsidRDefault="004A5BBE">
      <w:pPr>
        <w:pStyle w:val="ConsPlusNormal"/>
        <w:jc w:val="center"/>
        <w:rPr>
          <w:b/>
          <w:bCs/>
          <w:sz w:val="16"/>
          <w:szCs w:val="16"/>
        </w:rPr>
      </w:pPr>
      <w:r w:rsidRPr="00D93829">
        <w:rPr>
          <w:b/>
          <w:bCs/>
          <w:sz w:val="16"/>
          <w:szCs w:val="16"/>
        </w:rPr>
        <w:t>ФЕДЕРАЛЬНЫХ НУЖД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ind w:firstLine="540"/>
        <w:jc w:val="both"/>
      </w:pPr>
      <w:r w:rsidRPr="00D93829">
        <w:t>1. План закупок товаров, работ, услуг для обеспечени</w:t>
      </w:r>
      <w:r w:rsidRPr="00D93829">
        <w:t xml:space="preserve">я федеральных нужд (далее - закупки) представляет собой единый документ, который оформляется по </w:t>
      </w:r>
      <w:r w:rsidRPr="00D93829">
        <w:t>форме</w:t>
      </w:r>
      <w:r w:rsidRPr="00D93829">
        <w:t xml:space="preserve"> согласно приложению. Указанная </w:t>
      </w:r>
      <w:r w:rsidRPr="00D93829">
        <w:t>форма</w:t>
      </w:r>
      <w:r w:rsidRPr="00D93829">
        <w:t xml:space="preserve"> включае</w:t>
      </w:r>
      <w:r w:rsidRPr="00D93829">
        <w:t>т следующие сведения: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а) полное наименование, место нахождения, телефон и адрес электронной почты государственного заказчика, юридического лица, осуществляющего формирование, утверждение и ведение плана закупок;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б) идентификационный номер налогоплательщика</w:t>
      </w:r>
      <w:r w:rsidRPr="00D93829">
        <w:t>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в) код причины постановки на учет;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г) код по Общероссийскому классификатору организационно-правовых форм;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д) в отношении плана закупок, содержащего информацию о закупках, осуществляемых в рамках переданных федеральному государственному бюджетному учрежде</w:t>
      </w:r>
      <w:r w:rsidRPr="00D93829">
        <w:t>нию, федеральному государственному автономному учреждению, федеральному государственному унитарному предприятию федеральным органом государственной власти (государственным органом), Государственной корпорацией по атомной энергии "Росатом", органом управлен</w:t>
      </w:r>
      <w:r w:rsidRPr="00D93829">
        <w:t>ия государственным внебюджетным фондом Российской Федерации, являющимися государственными заказчиками, своих полномочий государственного заказчика по заключению и исполнению от лица указанных органов государственных контрактов, - полное наименование, место</w:t>
      </w:r>
      <w:r w:rsidRPr="00D93829">
        <w:t xml:space="preserve"> нахождения, телефон и адрес электронной почты указанных учреждения, предприятия;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е) таблица, содержащая в том числе следующую информацию с учетом особенностей, предусмотренных </w:t>
      </w:r>
      <w:r w:rsidRPr="00D93829">
        <w:t>пунктом 2</w:t>
      </w:r>
      <w:r w:rsidRPr="00D93829">
        <w:t xml:space="preserve"> настоящего док</w:t>
      </w:r>
      <w:r w:rsidRPr="00D93829">
        <w:t>умента: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цель осущ</w:t>
      </w:r>
      <w:r w:rsidRPr="00D93829">
        <w:t>ествления закупки в соответствии со статьей 13 Федерального закона. При этом в план закупок включаются наименование мероприятия государственной программы Российской Федерации, в том числе федеральной целевой программы, ведомственной целевой программы, иног</w:t>
      </w:r>
      <w:r w:rsidRPr="00D93829">
        <w:t>о документа стратегического и программно-целевого планирования Российской Федерации, с указанием соответствующего ожидаемого результата реализации такого мероприятия либо наименование функции (полномочия) федерального органа государственной власти (государ</w:t>
      </w:r>
      <w:r w:rsidRPr="00D93829">
        <w:t>ственного органа), органа управления государственным внебюджетным фондом Российской Федерации, не предусмотренной указанными программами, а также наименование международного договора Российской Федерации, если закупка осуществляется в целях исполнения межд</w:t>
      </w:r>
      <w:r w:rsidRPr="00D93829">
        <w:t>ународных обязательств Российской Федерации и (или) реализации межгосударственных целевых программ, участником которых является Российская Федерация;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наименование объекта и (или) объектов закупки;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планируемый год размещения извещения об осуществлении закуп</w:t>
      </w:r>
      <w:r w:rsidRPr="00D93829">
        <w:t>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объем финансового обеспечения (планируемые платежи) для осуществления закупки на соответ</w:t>
      </w:r>
      <w:r w:rsidRPr="00D93829">
        <w:t>ствующий финансовый год;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</w:t>
      </w:r>
      <w:r w:rsidRPr="00D93829">
        <w:t>дельно, 2 раза в месяц, ежемесячно, ежеквартально, один раз в полгода, один раз в год и другая);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</w:t>
      </w:r>
      <w:r w:rsidRPr="00D93829">
        <w:t>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</w:t>
      </w:r>
      <w:r w:rsidRPr="00D93829">
        <w:t>рхитектурно-строительного проектирования);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сведения об обязательном общественном обсуждении закупки (да или нет) в соответствии со статьей 20 Федерального закона;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дата, содержание и обоснование вносимых в план закупок изменений;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ж) дата утверждения плана з</w:t>
      </w:r>
      <w:r w:rsidRPr="00D93829">
        <w:t>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</w:p>
    <w:p w:rsidR="00000000" w:rsidRPr="00D93829" w:rsidRDefault="004A5BBE">
      <w:pPr>
        <w:pStyle w:val="ConsPlusNormal"/>
        <w:ind w:firstLine="540"/>
        <w:jc w:val="both"/>
      </w:pPr>
      <w:bookmarkStart w:id="10" w:name="Par103"/>
      <w:bookmarkEnd w:id="10"/>
      <w:r w:rsidRPr="00D93829">
        <w:t>2. Информация о закупках, которые планируется осуществлять</w:t>
      </w:r>
      <w:r w:rsidRPr="00D93829">
        <w:t xml:space="preserve"> в соответствии с пунктом 7 части 2 статьи 83 и пунктами 4, 5, 26 и 33 части 1 статьи 93 Федерального закона, указывается в плане закупок </w:t>
      </w:r>
      <w:r w:rsidRPr="00D93829">
        <w:lastRenderedPageBreak/>
        <w:t>одной строкой по каждому включенному в состав идентификационного кода закупки коду бюджетной классификации в размере г</w:t>
      </w:r>
      <w:r w:rsidRPr="00D93829">
        <w:t>одового объема финансового обеспечения по каждому из следующих объектов закупки: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а) лекарственные препараты, закупаемые в соответствии с пунктом 7 части 2 статьи 83 Федерального закона;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б) 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в) товары, работы или услуги на сумму, не превышающую 400 тыс. рублей (в случае заключен</w:t>
      </w:r>
      <w:r w:rsidRPr="00D93829">
        <w:t>ия контракта в соответствии с пунктом 5 части 1 статьи 93 Федерального закона);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г) 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</w:t>
      </w:r>
      <w:r w:rsidRPr="00D93829">
        <w:t>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д) преподавательские услуги, оказываемые физическими лицами;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 xml:space="preserve">е) </w:t>
      </w:r>
      <w:r w:rsidRPr="00D93829">
        <w:t>услуги экскурсовода (гида), оказываемые физическими лицами.</w:t>
      </w:r>
    </w:p>
    <w:p w:rsidR="00000000" w:rsidRPr="00D93829" w:rsidRDefault="004A5BBE">
      <w:pPr>
        <w:pStyle w:val="ConsPlusNormal"/>
        <w:ind w:firstLine="540"/>
        <w:jc w:val="both"/>
      </w:pPr>
      <w:r w:rsidRPr="00D93829">
        <w:t>3.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для осущест</w:t>
      </w:r>
      <w:r w:rsidRPr="00D93829">
        <w:t>вления закупок в текущем финансовом году, плановый период и последующие годы (в случае осуществления закупок, которые планируются по истечении планового периода).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right"/>
        <w:outlineLvl w:val="1"/>
      </w:pPr>
      <w:bookmarkStart w:id="11" w:name="Par116"/>
      <w:bookmarkEnd w:id="11"/>
      <w:r w:rsidRPr="00D93829">
        <w:t>Приложение</w:t>
      </w:r>
    </w:p>
    <w:p w:rsidR="00000000" w:rsidRPr="00D93829" w:rsidRDefault="004A5BBE">
      <w:pPr>
        <w:pStyle w:val="ConsPlusNormal"/>
        <w:jc w:val="right"/>
      </w:pPr>
      <w:r w:rsidRPr="00D93829">
        <w:t>к требованиям к форме плана</w:t>
      </w:r>
    </w:p>
    <w:p w:rsidR="00000000" w:rsidRPr="00D93829" w:rsidRDefault="004A5BBE">
      <w:pPr>
        <w:pStyle w:val="ConsPlusNormal"/>
        <w:jc w:val="right"/>
      </w:pPr>
      <w:r w:rsidRPr="00D93829">
        <w:t>закупок товаров, работ, услуг</w:t>
      </w:r>
    </w:p>
    <w:p w:rsidR="00000000" w:rsidRPr="00D93829" w:rsidRDefault="004A5BBE">
      <w:pPr>
        <w:pStyle w:val="ConsPlusNormal"/>
        <w:jc w:val="right"/>
      </w:pPr>
      <w:r w:rsidRPr="00D93829">
        <w:t>для обе</w:t>
      </w:r>
      <w:r w:rsidRPr="00D93829">
        <w:t>спечения федеральных нужд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right"/>
      </w:pPr>
      <w:r w:rsidRPr="00D93829">
        <w:t>(форма)</w:t>
      </w:r>
    </w:p>
    <w:p w:rsidR="00000000" w:rsidRPr="00D93829" w:rsidRDefault="004A5BBE">
      <w:pPr>
        <w:pStyle w:val="ConsPlusNormal"/>
        <w:jc w:val="right"/>
        <w:sectPr w:rsidR="00000000" w:rsidRPr="00D93829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nformat"/>
        <w:jc w:val="both"/>
      </w:pPr>
      <w:bookmarkStart w:id="12" w:name="Par123"/>
      <w:bookmarkEnd w:id="12"/>
      <w:r w:rsidRPr="00D93829">
        <w:t xml:space="preserve">                                   План</w:t>
      </w:r>
    </w:p>
    <w:p w:rsidR="00000000" w:rsidRPr="00D93829" w:rsidRDefault="004A5BBE">
      <w:pPr>
        <w:pStyle w:val="ConsPlusNonformat"/>
        <w:jc w:val="both"/>
      </w:pPr>
      <w:r w:rsidRPr="00D93829">
        <w:t xml:space="preserve">      закупок товаров, работ, услуг для обеспечения федеральных нужд</w:t>
      </w:r>
    </w:p>
    <w:p w:rsidR="00000000" w:rsidRPr="00D93829" w:rsidRDefault="004A5BBE">
      <w:pPr>
        <w:pStyle w:val="ConsPlusNonformat"/>
        <w:jc w:val="both"/>
      </w:pPr>
      <w:r w:rsidRPr="00D93829">
        <w:t xml:space="preserve">        на 20__ финансовый год и плановый период 20__ и 20__ годов</w:t>
      </w:r>
    </w:p>
    <w:p w:rsidR="00000000" w:rsidRPr="00D93829" w:rsidRDefault="004A5B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2778"/>
        <w:gridCol w:w="1467"/>
        <w:gridCol w:w="1134"/>
      </w:tblGrid>
      <w:tr w:rsidR="00D93829" w:rsidRPr="00D9382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Коды</w:t>
            </w:r>
          </w:p>
        </w:tc>
      </w:tr>
      <w:tr w:rsidR="00D93829" w:rsidRPr="00D93829">
        <w:tc>
          <w:tcPr>
            <w:tcW w:w="425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  <w:r w:rsidRPr="00D93829"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</w:t>
            </w:r>
          </w:p>
        </w:tc>
        <w:tc>
          <w:tcPr>
            <w:tcW w:w="27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</w:tr>
      <w:tr w:rsidR="00D93829" w:rsidRPr="00D93829">
        <w:tc>
          <w:tcPr>
            <w:tcW w:w="42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D93829" w:rsidRDefault="004A5BBE">
            <w:pPr>
              <w:pStyle w:val="ConsPlusNormal"/>
              <w:jc w:val="right"/>
            </w:pPr>
            <w:r w:rsidRPr="00D93829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</w:tr>
      <w:tr w:rsidR="00D93829" w:rsidRPr="00D93829">
        <w:tc>
          <w:tcPr>
            <w:tcW w:w="42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D93829" w:rsidRDefault="004A5BBE">
            <w:pPr>
              <w:pStyle w:val="ConsPlusNormal"/>
              <w:jc w:val="right"/>
            </w:pPr>
            <w:r w:rsidRPr="00D93829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</w:tr>
      <w:tr w:rsidR="00D93829" w:rsidRPr="00D9382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  <w:r w:rsidRPr="00D93829">
              <w:t>Организационно-правовая форма и форма собственности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D93829" w:rsidRDefault="004A5BBE">
            <w:pPr>
              <w:pStyle w:val="ConsPlusNormal"/>
              <w:jc w:val="right"/>
            </w:pPr>
            <w:r w:rsidRPr="00D93829">
              <w:t>по ОКОПФ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</w:tr>
      <w:tr w:rsidR="00D93829" w:rsidRPr="00D9382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  <w:r w:rsidRPr="00D93829"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</w:tr>
      <w:tr w:rsidR="00D93829" w:rsidRPr="00D9382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  <w:r w:rsidRPr="00D93829"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</w:t>
            </w:r>
            <w:r w:rsidRPr="00D93829">
              <w:t xml:space="preserve">а </w:t>
            </w:r>
            <w:r w:rsidRPr="00D93829">
              <w:t>&lt;*&gt;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  <w:bookmarkStart w:id="13" w:name="_GoBack"/>
            <w:bookmarkEnd w:id="13"/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D93829" w:rsidRDefault="004A5BBE">
            <w:pPr>
              <w:pStyle w:val="ConsPlusNormal"/>
              <w:jc w:val="right"/>
            </w:pPr>
            <w:r w:rsidRPr="00D93829"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</w:tr>
      <w:tr w:rsidR="00D93829" w:rsidRPr="00D9382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  <w:r w:rsidRPr="00D93829">
              <w:t xml:space="preserve">Место нахождения (адрес), телефон, адрес электронной почты </w:t>
            </w:r>
            <w:r w:rsidRPr="00D93829">
              <w:t>&lt;*&gt;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D93829" w:rsidRDefault="004A5BBE">
            <w:pPr>
              <w:pStyle w:val="ConsPlusNormal"/>
              <w:jc w:val="right"/>
            </w:pPr>
            <w:r w:rsidRPr="00D93829"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</w:tr>
      <w:tr w:rsidR="00D93829" w:rsidRPr="00D93829">
        <w:tc>
          <w:tcPr>
            <w:tcW w:w="42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  <w:r w:rsidRPr="00D93829">
              <w:t>Вид документа (базовый (0), измененный (порядковый код</w:t>
            </w:r>
            <w:r w:rsidRPr="00D93829">
              <w:t xml:space="preserve"> изменения)</w:t>
            </w: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D93829" w:rsidRDefault="004A5BBE">
            <w:pPr>
              <w:pStyle w:val="ConsPlusNormal"/>
              <w:jc w:val="right"/>
            </w:pPr>
            <w:r w:rsidRPr="00D93829">
              <w:t>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</w:tr>
      <w:tr w:rsidR="00D93829" w:rsidRPr="00D93829">
        <w:tc>
          <w:tcPr>
            <w:tcW w:w="42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</w:tr>
    </w:tbl>
    <w:p w:rsidR="00000000" w:rsidRPr="00D93829" w:rsidRDefault="004A5B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D93829" w:rsidRPr="00D938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D93829">
            <w:pPr>
              <w:pStyle w:val="ConsPlusNormal"/>
              <w:jc w:val="center"/>
            </w:pPr>
            <w:r>
              <w:t>№</w:t>
            </w:r>
            <w:r w:rsidR="004A5BBE" w:rsidRPr="00D93829">
              <w:t xml:space="preserve"> п/п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 xml:space="preserve">Идентификационный код </w:t>
            </w:r>
            <w:r w:rsidRPr="00D93829">
              <w:lastRenderedPageBreak/>
              <w:t>закупки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lastRenderedPageBreak/>
              <w:t>Цель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Наименование объект</w:t>
            </w:r>
            <w:r w:rsidRPr="00D93829">
              <w:lastRenderedPageBreak/>
              <w:t>а закупки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lastRenderedPageBreak/>
              <w:t xml:space="preserve">Планируемый год размещения извещения, </w:t>
            </w:r>
            <w:r w:rsidRPr="00D93829">
              <w:lastRenderedPageBreak/>
              <w:t>направления приглашения, заключения контракта с единственным поставщиком (подрядчиком, исполнит</w:t>
            </w:r>
            <w:r w:rsidRPr="00D93829">
              <w:t>елем)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lastRenderedPageBreak/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 xml:space="preserve">Сроки (периодичность) </w:t>
            </w:r>
            <w:r w:rsidRPr="00D93829">
              <w:lastRenderedPageBreak/>
              <w:t>осуществления планируемых закупок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lastRenderedPageBreak/>
              <w:t xml:space="preserve">Дополнительная информация в соответствии с пунктом 7 части 2 </w:t>
            </w:r>
            <w:r w:rsidRPr="00D93829">
              <w:lastRenderedPageBreak/>
              <w:t>статьи 17 Федерального закона "О контрактной системе в сфере закупок товаров, работ, услу</w:t>
            </w:r>
            <w:r w:rsidRPr="00D93829">
              <w:t>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lastRenderedPageBreak/>
              <w:t>Информация о провед</w:t>
            </w:r>
            <w:r w:rsidRPr="00D93829">
              <w:lastRenderedPageBreak/>
              <w:t>ении общественного обсуждения закупки (да или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lastRenderedPageBreak/>
              <w:t>Обоснование внесе</w:t>
            </w:r>
            <w:r w:rsidRPr="00D93829">
              <w:lastRenderedPageBreak/>
              <w:t>ния изменений</w:t>
            </w:r>
          </w:p>
        </w:tc>
      </w:tr>
      <w:tr w:rsidR="00D93829" w:rsidRPr="00D938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всего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в том числе планируемые платежи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</w:tr>
      <w:tr w:rsidR="00D93829" w:rsidRPr="00D938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 xml:space="preserve">ожидаемый результат реализации мероприятия государственной программы Российской Федерации </w:t>
            </w:r>
            <w:r w:rsidRPr="00D93829">
              <w:t>&lt;**&gt;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на плановый период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последующие годы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</w:tr>
      <w:tr w:rsidR="00D93829" w:rsidRPr="00D938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на второй год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</w:p>
        </w:tc>
      </w:tr>
      <w:tr w:rsidR="00D93829" w:rsidRPr="00D9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15</w:t>
            </w:r>
          </w:p>
        </w:tc>
      </w:tr>
      <w:tr w:rsidR="00D93829" w:rsidRPr="00D9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</w:tr>
      <w:tr w:rsidR="00D93829" w:rsidRPr="00D93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</w:tr>
      <w:tr w:rsidR="00D93829" w:rsidRPr="00D93829"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right"/>
            </w:pPr>
            <w:r w:rsidRPr="00D93829"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x</w:t>
            </w:r>
          </w:p>
        </w:tc>
      </w:tr>
      <w:tr w:rsidR="00D93829" w:rsidRPr="00D93829"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D93829" w:rsidRDefault="004A5BB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Pr="00D93829" w:rsidRDefault="004A5BBE">
            <w:pPr>
              <w:pStyle w:val="ConsPlusNormal"/>
              <w:jc w:val="center"/>
            </w:pPr>
            <w:r w:rsidRPr="00D93829">
              <w:t>x</w:t>
            </w:r>
          </w:p>
        </w:tc>
      </w:tr>
    </w:tbl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nformat"/>
        <w:jc w:val="both"/>
      </w:pPr>
      <w:r w:rsidRPr="00D93829">
        <w:t>___________________________________ ___________  "__" _____________ 20__ г.</w:t>
      </w:r>
    </w:p>
    <w:p w:rsidR="00000000" w:rsidRPr="00D93829" w:rsidRDefault="004A5BBE">
      <w:pPr>
        <w:pStyle w:val="ConsPlusNonformat"/>
        <w:jc w:val="both"/>
      </w:pPr>
      <w:r w:rsidRPr="00D93829">
        <w:t xml:space="preserve">  (ф.и.о., должность руководителя    (подпись)      (дата утверждения)</w:t>
      </w:r>
    </w:p>
    <w:p w:rsidR="00000000" w:rsidRPr="00D93829" w:rsidRDefault="004A5BBE">
      <w:pPr>
        <w:pStyle w:val="ConsPlusNonformat"/>
        <w:jc w:val="both"/>
      </w:pPr>
      <w:r w:rsidRPr="00D93829">
        <w:t xml:space="preserve">   (уполномоченного должностного</w:t>
      </w:r>
    </w:p>
    <w:p w:rsidR="00000000" w:rsidRPr="00D93829" w:rsidRDefault="004A5BBE">
      <w:pPr>
        <w:pStyle w:val="ConsPlusNonformat"/>
        <w:jc w:val="both"/>
      </w:pPr>
      <w:r w:rsidRPr="00D93829">
        <w:t xml:space="preserve">         лица) заказчика)</w:t>
      </w:r>
    </w:p>
    <w:p w:rsidR="00000000" w:rsidRPr="00D93829" w:rsidRDefault="004A5BBE">
      <w:pPr>
        <w:pStyle w:val="ConsPlusNonformat"/>
        <w:jc w:val="both"/>
      </w:pPr>
    </w:p>
    <w:p w:rsidR="00000000" w:rsidRPr="00D93829" w:rsidRDefault="004A5BBE">
      <w:pPr>
        <w:pStyle w:val="ConsPlusNonformat"/>
        <w:jc w:val="both"/>
      </w:pPr>
      <w:r w:rsidRPr="00D93829">
        <w:t>___________________________________ ___________</w:t>
      </w:r>
    </w:p>
    <w:p w:rsidR="00000000" w:rsidRPr="00D93829" w:rsidRDefault="004A5BBE">
      <w:pPr>
        <w:pStyle w:val="ConsPlusNonformat"/>
        <w:jc w:val="both"/>
      </w:pPr>
      <w:r w:rsidRPr="00D93829">
        <w:t>(ф.и.о. ответственного исполнителя)  (подпись)</w:t>
      </w:r>
    </w:p>
    <w:p w:rsidR="00000000" w:rsidRPr="00D93829" w:rsidRDefault="004A5BBE">
      <w:pPr>
        <w:pStyle w:val="ConsPlusNonformat"/>
        <w:jc w:val="both"/>
      </w:pPr>
      <w:r w:rsidRPr="00D93829">
        <w:t xml:space="preserve">                                                  М.П.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ind w:firstLine="540"/>
        <w:jc w:val="both"/>
      </w:pPr>
      <w:r w:rsidRPr="00D93829">
        <w:t>--------------------------------</w:t>
      </w:r>
    </w:p>
    <w:p w:rsidR="00000000" w:rsidRPr="00D93829" w:rsidRDefault="004A5BBE">
      <w:pPr>
        <w:pStyle w:val="ConsPlusNormal"/>
        <w:ind w:firstLine="540"/>
        <w:jc w:val="both"/>
      </w:pPr>
      <w:bookmarkStart w:id="14" w:name="Par259"/>
      <w:bookmarkEnd w:id="14"/>
      <w:r w:rsidRPr="00D93829">
        <w:t>&lt;*&gt; Заполняется в отношении плана закупок, включающего информацию о закупках,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</w:t>
      </w:r>
      <w:r w:rsidRPr="00D93829">
        <w:t>ах переданных ему федеральным органом государственной власти (государственным органом), Государственной корпорацией по атомной энергии "Росатом", органом управления государственным внебюджетным фондом Российской Федерации полномочий государственного заказч</w:t>
      </w:r>
      <w:r w:rsidRPr="00D93829">
        <w:t>ика по заключению и исполнению от лица указанных органов и Корпорации государственных контрактов.</w:t>
      </w:r>
    </w:p>
    <w:p w:rsidR="00000000" w:rsidRPr="00D93829" w:rsidRDefault="004A5BBE">
      <w:pPr>
        <w:pStyle w:val="ConsPlusNormal"/>
        <w:ind w:firstLine="540"/>
        <w:jc w:val="both"/>
      </w:pPr>
      <w:bookmarkStart w:id="15" w:name="Par260"/>
      <w:bookmarkEnd w:id="15"/>
      <w:r w:rsidRPr="00D93829"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jc w:val="both"/>
      </w:pPr>
    </w:p>
    <w:p w:rsidR="00000000" w:rsidRPr="00D93829" w:rsidRDefault="004A5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829" w:rsidRPr="00D93829" w:rsidRDefault="00D938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3829" w:rsidRPr="00D93829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BE" w:rsidRDefault="004A5BBE">
      <w:pPr>
        <w:spacing w:after="0" w:line="240" w:lineRule="auto"/>
      </w:pPr>
      <w:r>
        <w:separator/>
      </w:r>
    </w:p>
  </w:endnote>
  <w:endnote w:type="continuationSeparator" w:id="0">
    <w:p w:rsidR="004A5BBE" w:rsidRDefault="004A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5BB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5BB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BE" w:rsidRDefault="004A5BBE">
      <w:pPr>
        <w:spacing w:after="0" w:line="240" w:lineRule="auto"/>
      </w:pPr>
      <w:r>
        <w:separator/>
      </w:r>
    </w:p>
  </w:footnote>
  <w:footnote w:type="continuationSeparator" w:id="0">
    <w:p w:rsidR="004A5BBE" w:rsidRDefault="004A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5B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5B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29"/>
    <w:rsid w:val="004A5BBE"/>
    <w:rsid w:val="00D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3271</Words>
  <Characters>18646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05.06.2015 N 552"Об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</vt:lpstr>
    </vt:vector>
  </TitlesOfParts>
  <Company>SPecialiST RePack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05.06.2015 N 552"Об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</dc:title>
  <dc:creator>Институт госзакупок (www.roszakupki.ru)</dc:creator>
  <cp:lastModifiedBy>Институт госзакупок (www.roszakupki.ru)</cp:lastModifiedBy>
  <cp:revision>2</cp:revision>
  <dcterms:created xsi:type="dcterms:W3CDTF">2015-09-08T08:04:00Z</dcterms:created>
  <dcterms:modified xsi:type="dcterms:W3CDTF">2015-09-08T08:04:00Z</dcterms:modified>
</cp:coreProperties>
</file>